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98380C" w:rsidRPr="0098380C">
        <w:trPr>
          <w:trHeight w:val="600"/>
          <w:tblCellSpacing w:w="0" w:type="dxa"/>
          <w:jc w:val="center"/>
        </w:trPr>
        <w:tc>
          <w:tcPr>
            <w:tcW w:w="0" w:type="auto"/>
            <w:vAlign w:val="center"/>
            <w:hideMark/>
          </w:tcPr>
          <w:p w:rsidR="00C629B5" w:rsidRPr="0098380C" w:rsidRDefault="00C629B5" w:rsidP="00C629B5">
            <w:pPr>
              <w:widowControl/>
              <w:adjustRightInd w:val="0"/>
              <w:snapToGrid w:val="0"/>
              <w:jc w:val="center"/>
              <w:rPr>
                <w:rFonts w:ascii="Verdana" w:eastAsia="宋体" w:hAnsi="Verdana" w:cs="宋体"/>
                <w:kern w:val="0"/>
                <w:sz w:val="28"/>
                <w:szCs w:val="28"/>
              </w:rPr>
            </w:pPr>
            <w:r w:rsidRPr="0098380C">
              <w:rPr>
                <w:rFonts w:ascii="Verdana" w:eastAsia="微软雅黑" w:hAnsi="Verdana" w:cs="Tahoma"/>
                <w:b/>
                <w:bCs/>
                <w:kern w:val="0"/>
                <w:sz w:val="28"/>
                <w:szCs w:val="28"/>
              </w:rPr>
              <w:t>跨学科研究机构建设管理办法</w:t>
            </w:r>
          </w:p>
        </w:tc>
      </w:tr>
      <w:tr w:rsidR="0098380C" w:rsidRPr="0098380C">
        <w:trPr>
          <w:trHeight w:val="600"/>
          <w:tblCellSpacing w:w="0" w:type="dxa"/>
          <w:jc w:val="center"/>
        </w:trPr>
        <w:tc>
          <w:tcPr>
            <w:tcW w:w="0" w:type="auto"/>
            <w:vAlign w:val="center"/>
            <w:hideMark/>
          </w:tcPr>
          <w:p w:rsidR="00C629B5" w:rsidRPr="00385FA2" w:rsidRDefault="00C629B5" w:rsidP="00C629B5">
            <w:pPr>
              <w:widowControl/>
              <w:adjustRightInd w:val="0"/>
              <w:snapToGrid w:val="0"/>
              <w:jc w:val="center"/>
              <w:rPr>
                <w:rFonts w:ascii="Verdana" w:eastAsia="宋体" w:hAnsi="Verdana" w:cs="宋体"/>
                <w:kern w:val="0"/>
                <w:sz w:val="18"/>
                <w:szCs w:val="18"/>
              </w:rPr>
            </w:pPr>
            <w:bookmarkStart w:id="0" w:name="_GoBack"/>
            <w:bookmarkEnd w:id="0"/>
          </w:p>
        </w:tc>
      </w:tr>
      <w:tr w:rsidR="00C629B5" w:rsidRPr="0098380C">
        <w:trPr>
          <w:trHeight w:val="3000"/>
          <w:tblCellSpacing w:w="0" w:type="dxa"/>
          <w:jc w:val="center"/>
        </w:trPr>
        <w:tc>
          <w:tcPr>
            <w:tcW w:w="5000" w:type="pct"/>
            <w:hideMark/>
          </w:tcPr>
          <w:p w:rsidR="00C629B5" w:rsidRPr="0098380C" w:rsidRDefault="00C629B5" w:rsidP="00C629B5">
            <w:pPr>
              <w:widowControl/>
              <w:snapToGrid w:val="0"/>
              <w:jc w:val="center"/>
              <w:rPr>
                <w:rFonts w:ascii="Verdana" w:eastAsia="宋体" w:hAnsi="Verdana" w:cs="宋体"/>
                <w:kern w:val="0"/>
                <w:sz w:val="18"/>
                <w:szCs w:val="18"/>
              </w:rPr>
            </w:pPr>
            <w:r w:rsidRPr="0098380C">
              <w:rPr>
                <w:rFonts w:ascii="新宋体" w:eastAsia="新宋体" w:hAnsi="新宋体" w:cs="新宋体" w:hint="eastAsia"/>
                <w:b/>
                <w:bCs/>
                <w:kern w:val="0"/>
                <w:sz w:val="28"/>
                <w:szCs w:val="28"/>
              </w:rPr>
              <w:t>第一章   总 则</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第一条</w:t>
            </w:r>
            <w:r w:rsidRPr="0098380C">
              <w:rPr>
                <w:rFonts w:ascii="新宋体" w:eastAsia="新宋体" w:hAnsi="新宋体" w:cs="新宋体" w:hint="eastAsia"/>
                <w:kern w:val="0"/>
                <w:sz w:val="28"/>
                <w:szCs w:val="28"/>
              </w:rPr>
              <w:t xml:space="preserve">  为进一步加强学院科研平台建设，建立健全学院科研组织体系，优化校内外科研资源配置，不断提高学院自主创新能力和学术水平，制定本办法。</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第二条 </w:t>
            </w:r>
            <w:r w:rsidRPr="0098380C">
              <w:rPr>
                <w:rFonts w:ascii="新宋体" w:eastAsia="新宋体" w:hAnsi="新宋体" w:cs="新宋体" w:hint="eastAsia"/>
                <w:kern w:val="0"/>
                <w:sz w:val="28"/>
                <w:szCs w:val="28"/>
              </w:rPr>
              <w:t xml:space="preserve"> 跨学科研究机构是指经学院批准成立、依托</w:t>
            </w:r>
            <w:proofErr w:type="gramStart"/>
            <w:r w:rsidRPr="0098380C">
              <w:rPr>
                <w:rFonts w:ascii="新宋体" w:eastAsia="新宋体" w:hAnsi="新宋体" w:cs="新宋体" w:hint="eastAsia"/>
                <w:kern w:val="0"/>
                <w:sz w:val="28"/>
                <w:szCs w:val="28"/>
              </w:rPr>
              <w:t>教学系部组建</w:t>
            </w:r>
            <w:proofErr w:type="gramEnd"/>
            <w:r w:rsidRPr="0098380C">
              <w:rPr>
                <w:rFonts w:ascii="新宋体" w:eastAsia="新宋体" w:hAnsi="新宋体" w:cs="新宋体" w:hint="eastAsia"/>
                <w:kern w:val="0"/>
                <w:sz w:val="28"/>
                <w:szCs w:val="28"/>
              </w:rPr>
              <w:t>、专门从事学术研究的机构。</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第三条  </w:t>
            </w:r>
            <w:r w:rsidRPr="0098380C">
              <w:rPr>
                <w:rFonts w:ascii="新宋体" w:eastAsia="新宋体" w:hAnsi="新宋体" w:cs="新宋体" w:hint="eastAsia"/>
                <w:kern w:val="0"/>
                <w:sz w:val="28"/>
                <w:szCs w:val="28"/>
              </w:rPr>
              <w:t>跨学科研究机构坚持跨学科、跨领域、跨行业的开放、包容、共享原则，机构实行优胜劣汰的动态管理机制，以培育高层级课题、产出优秀科研成果、打造重点学科、凝练研究方向、培养高素质团队、服务公安实战为目标，确保研究机构具有自主创新的活力。</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第四条  </w:t>
            </w:r>
            <w:r w:rsidRPr="0098380C">
              <w:rPr>
                <w:rFonts w:ascii="新宋体" w:eastAsia="新宋体" w:hAnsi="新宋体" w:cs="新宋体" w:hint="eastAsia"/>
                <w:kern w:val="0"/>
                <w:sz w:val="28"/>
                <w:szCs w:val="28"/>
              </w:rPr>
              <w:t>学院对跨学科研究机构提供研究经费，并对其开展科研活动进行指导、协调和监督。同时鼓励跨学科研究机构依靠自身能力争取科研项目和经费资助。</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w:t>
            </w:r>
            <w:r w:rsidRPr="0098380C">
              <w:rPr>
                <w:rFonts w:ascii="新宋体" w:eastAsia="新宋体" w:hAnsi="新宋体" w:cs="新宋体" w:hint="eastAsia"/>
                <w:b/>
                <w:kern w:val="0"/>
                <w:sz w:val="28"/>
                <w:szCs w:val="28"/>
              </w:rPr>
              <w:t xml:space="preserve"> 第五条</w:t>
            </w:r>
            <w:r w:rsidRPr="0098380C">
              <w:rPr>
                <w:rFonts w:ascii="新宋体" w:eastAsia="新宋体" w:hAnsi="新宋体" w:cs="新宋体" w:hint="eastAsia"/>
                <w:kern w:val="0"/>
                <w:sz w:val="28"/>
                <w:szCs w:val="28"/>
              </w:rPr>
              <w:t xml:space="preserve">  跨学科研究机构由组织人事处、科研处和计财处按照各自职责任务进行归口管理。</w:t>
            </w:r>
          </w:p>
          <w:p w:rsidR="00C629B5" w:rsidRPr="0098380C" w:rsidRDefault="00C629B5" w:rsidP="00C629B5">
            <w:pPr>
              <w:widowControl/>
              <w:snapToGrid w:val="0"/>
              <w:jc w:val="center"/>
              <w:rPr>
                <w:rFonts w:ascii="Verdana" w:eastAsia="宋体" w:hAnsi="Verdana" w:cs="宋体"/>
                <w:kern w:val="0"/>
                <w:sz w:val="18"/>
                <w:szCs w:val="18"/>
              </w:rPr>
            </w:pPr>
            <w:r w:rsidRPr="0098380C">
              <w:rPr>
                <w:rFonts w:ascii="新宋体" w:eastAsia="新宋体" w:hAnsi="新宋体" w:cs="新宋体" w:hint="eastAsia"/>
                <w:b/>
                <w:bCs/>
                <w:kern w:val="0"/>
                <w:sz w:val="28"/>
                <w:szCs w:val="28"/>
              </w:rPr>
              <w:t>第二章  申报条件</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w:t>
            </w:r>
            <w:r w:rsidRPr="0098380C">
              <w:rPr>
                <w:rFonts w:ascii="新宋体" w:eastAsia="新宋体" w:hAnsi="新宋体" w:cs="新宋体" w:hint="eastAsia"/>
                <w:b/>
                <w:kern w:val="0"/>
                <w:sz w:val="28"/>
                <w:szCs w:val="28"/>
              </w:rPr>
              <w:t xml:space="preserve"> 第六条</w:t>
            </w:r>
            <w:r w:rsidRPr="0098380C">
              <w:rPr>
                <w:rFonts w:ascii="新宋体" w:eastAsia="新宋体" w:hAnsi="新宋体" w:cs="新宋体" w:hint="eastAsia"/>
                <w:kern w:val="0"/>
                <w:sz w:val="28"/>
                <w:szCs w:val="28"/>
              </w:rPr>
              <w:t xml:space="preserve"> 团队申报跨学科研究机构，须具备下列条件：</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w:t>
            </w:r>
            <w:proofErr w:type="gramStart"/>
            <w:r w:rsidRPr="0098380C">
              <w:rPr>
                <w:rFonts w:ascii="新宋体" w:eastAsia="新宋体" w:hAnsi="新宋体" w:cs="新宋体" w:hint="eastAsia"/>
                <w:kern w:val="0"/>
                <w:sz w:val="28"/>
                <w:szCs w:val="28"/>
              </w:rPr>
              <w:t>一</w:t>
            </w:r>
            <w:proofErr w:type="gramEnd"/>
            <w:r w:rsidRPr="0098380C">
              <w:rPr>
                <w:rFonts w:ascii="新宋体" w:eastAsia="新宋体" w:hAnsi="新宋体" w:cs="新宋体" w:hint="eastAsia"/>
                <w:kern w:val="0"/>
                <w:sz w:val="28"/>
                <w:szCs w:val="28"/>
              </w:rPr>
              <w:t>)有明确的研究发展和服务方向、任务；</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（二）有相对稳定的科研团队，人数原则上不少于6人，其中校内人员不少于申报团队人数的1/2；</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（三） 公安专业团队申报，须以学院优势或特色学科专业为依托；其他专业申报，原则上须以前沿性研究成果为基础；</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（四） 组织申报省部级以上科研项目和举办中大型学术活动的能力；</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（五） 其他独立自主开展科研活动的条件。</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第七条</w:t>
            </w:r>
            <w:r w:rsidRPr="0098380C">
              <w:rPr>
                <w:rFonts w:ascii="新宋体" w:eastAsia="新宋体" w:hAnsi="新宋体" w:cs="新宋体" w:hint="eastAsia"/>
                <w:kern w:val="0"/>
                <w:sz w:val="28"/>
                <w:szCs w:val="28"/>
              </w:rPr>
              <w:t xml:space="preserve"> 跨学科研究机构负责人须具备以下条件：</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（一）学院在编在岗的工作人员；</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（二）师德高尚、学风端正，具有较高的教学科研水平；</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（三）原则上具有正高级专业技术职务或博士学历学位，或学院引进的学术带头人等优秀人才；</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（四）近3年主持完成过省部级以上科研项目；</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（五）在中文核心期刊发表以上学术论文3篇，或在公安权威期刊以上发表学术论文5篇，或者获得</w:t>
            </w:r>
            <w:proofErr w:type="gramStart"/>
            <w:r w:rsidRPr="0098380C">
              <w:rPr>
                <w:rFonts w:ascii="新宋体" w:eastAsia="新宋体" w:hAnsi="新宋体" w:cs="新宋体" w:hint="eastAsia"/>
                <w:kern w:val="0"/>
                <w:sz w:val="28"/>
                <w:szCs w:val="28"/>
              </w:rPr>
              <w:t>过厅级</w:t>
            </w:r>
            <w:proofErr w:type="gramEnd"/>
            <w:r w:rsidRPr="0098380C">
              <w:rPr>
                <w:rFonts w:ascii="新宋体" w:eastAsia="新宋体" w:hAnsi="新宋体" w:cs="新宋体" w:hint="eastAsia"/>
                <w:kern w:val="0"/>
                <w:sz w:val="28"/>
                <w:szCs w:val="28"/>
              </w:rPr>
              <w:t>一等奖以上科研奖励，或者出版过本专业研究领域学术专著；</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lastRenderedPageBreak/>
              <w:t xml:space="preserve">    （六）具备较强的组织协调能力、管理能力和社会活动能力，能够胜任团队管理工作；</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（七）申报新型学科专业或者创新管理机制研究机构，原则上可不受上述第三、四、五款的限制。</w:t>
            </w:r>
          </w:p>
          <w:p w:rsidR="00C629B5" w:rsidRPr="0098380C" w:rsidRDefault="00C629B5" w:rsidP="00C629B5">
            <w:pPr>
              <w:widowControl/>
              <w:snapToGrid w:val="0"/>
              <w:jc w:val="center"/>
              <w:rPr>
                <w:rFonts w:ascii="Verdana" w:eastAsia="宋体" w:hAnsi="Verdana" w:cs="宋体"/>
                <w:kern w:val="0"/>
                <w:sz w:val="18"/>
                <w:szCs w:val="18"/>
              </w:rPr>
            </w:pPr>
            <w:r w:rsidRPr="0098380C">
              <w:rPr>
                <w:rFonts w:ascii="新宋体" w:eastAsia="新宋体" w:hAnsi="新宋体" w:cs="新宋体" w:hint="eastAsia"/>
                <w:b/>
                <w:bCs/>
                <w:kern w:val="0"/>
                <w:sz w:val="28"/>
                <w:szCs w:val="28"/>
              </w:rPr>
              <w:t>第三章 审批程序</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第八条 </w:t>
            </w:r>
            <w:r w:rsidRPr="0098380C">
              <w:rPr>
                <w:rFonts w:ascii="新宋体" w:eastAsia="新宋体" w:hAnsi="新宋体" w:cs="新宋体" w:hint="eastAsia"/>
                <w:kern w:val="0"/>
                <w:sz w:val="28"/>
                <w:szCs w:val="28"/>
              </w:rPr>
              <w:t xml:space="preserve"> 申请成立跨学科研究机构应当填写《铁道警察学院跨学科研究机构审批表》（见附件），经依托单位审核同意后，报学院科研处。</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第九条  </w:t>
            </w:r>
            <w:r w:rsidRPr="0098380C">
              <w:rPr>
                <w:rFonts w:ascii="新宋体" w:eastAsia="新宋体" w:hAnsi="新宋体" w:cs="新宋体" w:hint="eastAsia"/>
                <w:kern w:val="0"/>
                <w:sz w:val="28"/>
                <w:szCs w:val="28"/>
              </w:rPr>
              <w:t>科研处对申报材料的内容进行审核，审核合格后移交组织人事处对申报程序进行审核。对于符合各项条件的申请，由组织人事处提交院党委会研究决定。</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第十条 </w:t>
            </w:r>
            <w:r w:rsidRPr="0098380C">
              <w:rPr>
                <w:rFonts w:ascii="新宋体" w:eastAsia="新宋体" w:hAnsi="新宋体" w:cs="新宋体" w:hint="eastAsia"/>
                <w:kern w:val="0"/>
                <w:sz w:val="28"/>
                <w:szCs w:val="28"/>
              </w:rPr>
              <w:t xml:space="preserve"> 学院批准成立的跨学科研究机构，按照学院相关规定刻制与使用公章，并在依托单位悬挂由学院统一制作的标牌。</w:t>
            </w:r>
          </w:p>
          <w:p w:rsidR="00C629B5" w:rsidRPr="0098380C" w:rsidRDefault="00C629B5" w:rsidP="00C629B5">
            <w:pPr>
              <w:widowControl/>
              <w:snapToGrid w:val="0"/>
              <w:jc w:val="center"/>
              <w:rPr>
                <w:rFonts w:ascii="Verdana" w:eastAsia="宋体" w:hAnsi="Verdana" w:cs="宋体"/>
                <w:kern w:val="0"/>
                <w:sz w:val="18"/>
                <w:szCs w:val="18"/>
              </w:rPr>
            </w:pPr>
            <w:r w:rsidRPr="0098380C">
              <w:rPr>
                <w:rFonts w:ascii="新宋体" w:eastAsia="新宋体" w:hAnsi="新宋体" w:cs="新宋体" w:hint="eastAsia"/>
                <w:b/>
                <w:bCs/>
                <w:kern w:val="0"/>
                <w:sz w:val="28"/>
                <w:szCs w:val="28"/>
              </w:rPr>
              <w:t>第四章  工作职责与任务</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第十一条  </w:t>
            </w:r>
            <w:r w:rsidRPr="0098380C">
              <w:rPr>
                <w:rFonts w:ascii="新宋体" w:eastAsia="新宋体" w:hAnsi="新宋体" w:cs="新宋体" w:hint="eastAsia"/>
                <w:kern w:val="0"/>
                <w:sz w:val="28"/>
                <w:szCs w:val="28"/>
              </w:rPr>
              <w:t>跨学科研究机构负责人的主要职责包括：</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（一）主持制定并落实内部管理规章制度；</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（二）管理并负责科研团队成员考核；</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（三）制定年度科研工作计划及中长期发展规划；</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（四）统筹开展科研项目申报、组织管理与研究结项；</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（五）积极组织开展学术交流活动，完成科研任务；</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（六）筹集管理科研经费，合法、合</w:t>
            </w:r>
            <w:proofErr w:type="gramStart"/>
            <w:r w:rsidRPr="0098380C">
              <w:rPr>
                <w:rFonts w:ascii="新宋体" w:eastAsia="新宋体" w:hAnsi="新宋体" w:cs="新宋体" w:hint="eastAsia"/>
                <w:kern w:val="0"/>
                <w:sz w:val="28"/>
                <w:szCs w:val="28"/>
              </w:rPr>
              <w:t>规</w:t>
            </w:r>
            <w:proofErr w:type="gramEnd"/>
            <w:r w:rsidRPr="0098380C">
              <w:rPr>
                <w:rFonts w:ascii="新宋体" w:eastAsia="新宋体" w:hAnsi="新宋体" w:cs="新宋体" w:hint="eastAsia"/>
                <w:kern w:val="0"/>
                <w:sz w:val="28"/>
                <w:szCs w:val="28"/>
              </w:rPr>
              <w:t>使用科研经费；</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（七）完成学院下达的教学科研及相关工作。</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第十二条 </w:t>
            </w:r>
            <w:r w:rsidRPr="0098380C">
              <w:rPr>
                <w:rFonts w:ascii="新宋体" w:eastAsia="新宋体" w:hAnsi="新宋体" w:cs="新宋体" w:hint="eastAsia"/>
                <w:kern w:val="0"/>
                <w:sz w:val="28"/>
                <w:szCs w:val="28"/>
              </w:rPr>
              <w:t>跨学科研究机构依托部门的主要职责有：</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（一）指导跨学科研究机构制定发展规划和规章制度；</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（二）检查跨学科研究机构目标责任完成情况、发展规划和工作计划执行情况；</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（三）支持跨学科研究机构开展课题申报和学术活动；</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（四）监督跨学科研究机构的对外学术交流、公章使用和学术活动经费收支情况。</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第十三条  </w:t>
            </w:r>
            <w:r w:rsidRPr="0098380C">
              <w:rPr>
                <w:rFonts w:ascii="新宋体" w:eastAsia="新宋体" w:hAnsi="新宋体" w:cs="新宋体" w:hint="eastAsia"/>
                <w:kern w:val="0"/>
                <w:sz w:val="28"/>
                <w:szCs w:val="28"/>
              </w:rPr>
              <w:t>跨学科研究机构须在规定时间内至少完成与本机构研究方向密切相关的以下内容中的六项：</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（一）每年至少获批1项学院重大（特色）培育</w:t>
            </w:r>
            <w:proofErr w:type="gramStart"/>
            <w:r w:rsidRPr="0098380C">
              <w:rPr>
                <w:rFonts w:ascii="新宋体" w:eastAsia="新宋体" w:hAnsi="新宋体" w:cs="新宋体" w:hint="eastAsia"/>
                <w:kern w:val="0"/>
                <w:sz w:val="28"/>
                <w:szCs w:val="28"/>
              </w:rPr>
              <w:t>项目或厅局级</w:t>
            </w:r>
            <w:proofErr w:type="gramEnd"/>
            <w:r w:rsidRPr="0098380C">
              <w:rPr>
                <w:rFonts w:ascii="新宋体" w:eastAsia="新宋体" w:hAnsi="新宋体" w:cs="新宋体" w:hint="eastAsia"/>
                <w:kern w:val="0"/>
                <w:sz w:val="28"/>
                <w:szCs w:val="28"/>
              </w:rPr>
              <w:t>科研课题立项。在同等条件下，学院重大（特色）培育项目立项将向跨学科研究机构适当倾斜；</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（二）每年至少组织召开1次学术研讨会；</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（三）每学期至少组织1次面向全校、由校外高水平专家主讲的学术报告会；</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（四）3年内至少获批立项1项省部级以上科研项目；</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lastRenderedPageBreak/>
              <w:t xml:space="preserve">    （五）每年至少获得1项厅局级一等奖以上科研奖励或每3年出版1部学术专著；</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（六）3年内平均每年至少发表1篇中文核心期刊以上学术论文（限校内人员）；</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（七）每3年内参加编写的专业教材、讲义、技术资料或调研报告的主要观点和建议被省级以上公安机关或铁路公安局采用；</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（八）每3年在服务公安工作及队伍建设方面发挥重要作用，为公安机关提供决策咨询、案件论证并出具高质量分析意见、鉴定文书，或有关建议、方案被省级以上公安机关或铁路公安局采用（批转）；</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（九）每3年在省级以上公安机关督办案件或重大活动中发挥作用，或公安理论和技术成果被推广转化为省级公安机关或铁路公安局的教育培训内容，并有省级以上公安机关或铁路公安局相关文件认定；</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（十）3年内成功申报1个省部级重点学科或重点专业；</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（十一）5年内依托相关部门成功申报省部级重点实验室或重点科学研究基地。</w:t>
            </w:r>
          </w:p>
          <w:p w:rsidR="00C629B5" w:rsidRPr="0098380C" w:rsidRDefault="00C629B5" w:rsidP="00C629B5">
            <w:pPr>
              <w:widowControl/>
              <w:snapToGrid w:val="0"/>
              <w:jc w:val="center"/>
              <w:rPr>
                <w:rFonts w:ascii="Verdana" w:eastAsia="宋体" w:hAnsi="Verdana" w:cs="宋体"/>
                <w:kern w:val="0"/>
                <w:sz w:val="18"/>
                <w:szCs w:val="18"/>
              </w:rPr>
            </w:pPr>
            <w:r w:rsidRPr="0098380C">
              <w:rPr>
                <w:rFonts w:ascii="新宋体" w:eastAsia="新宋体" w:hAnsi="新宋体" w:cs="新宋体" w:hint="eastAsia"/>
                <w:b/>
                <w:bCs/>
                <w:kern w:val="0"/>
                <w:sz w:val="28"/>
                <w:szCs w:val="28"/>
              </w:rPr>
              <w:t>第五章</w:t>
            </w:r>
            <w:r w:rsidRPr="0098380C">
              <w:rPr>
                <w:rFonts w:ascii="新宋体" w:eastAsia="新宋体" w:hAnsi="新宋体" w:cs="新宋体" w:hint="eastAsia"/>
                <w:kern w:val="0"/>
                <w:sz w:val="28"/>
                <w:szCs w:val="28"/>
              </w:rPr>
              <w:t xml:space="preserve">  </w:t>
            </w:r>
            <w:r w:rsidRPr="0098380C">
              <w:rPr>
                <w:rFonts w:ascii="新宋体" w:eastAsia="新宋体" w:hAnsi="新宋体" w:cs="新宋体" w:hint="eastAsia"/>
                <w:b/>
                <w:bCs/>
                <w:kern w:val="0"/>
                <w:sz w:val="28"/>
                <w:szCs w:val="28"/>
              </w:rPr>
              <w:t>管理与考核</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第十四条</w:t>
            </w:r>
            <w:r w:rsidRPr="0098380C">
              <w:rPr>
                <w:rFonts w:ascii="新宋体" w:eastAsia="新宋体" w:hAnsi="新宋体" w:cs="新宋体" w:hint="eastAsia"/>
                <w:kern w:val="0"/>
                <w:sz w:val="28"/>
                <w:szCs w:val="28"/>
              </w:rPr>
              <w:t xml:space="preserve">  学院对跨学科研究机构实行二元制管理。跨学科研究机构由其所依托的部门进行业务指导，同时接受组织人事处、科研处的管理和考核。</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第十五条  </w:t>
            </w:r>
            <w:r w:rsidRPr="0098380C">
              <w:rPr>
                <w:rFonts w:ascii="新宋体" w:eastAsia="新宋体" w:hAnsi="新宋体" w:cs="新宋体" w:hint="eastAsia"/>
                <w:kern w:val="0"/>
                <w:sz w:val="28"/>
                <w:szCs w:val="28"/>
              </w:rPr>
              <w:t>组织人事处负责跨学科研究机构的申请建立，科研处负责每年组织校内外专家对跨学科研究机构进行业务检查、考核。考核采取书面评审与现场评审相结合的方式进行。考核结果分为优秀、合格、不合格三个等级。</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（一）优秀。全面完成跨学科研究机构的任务，成效显著；</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（二）合格。基本完成跨学科研究机构的任务，取得较好成效；</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（三）不合格。没有完成跨学科研究机构的任务，或完成数量和质量均未达到计划要求。考核不合格的跨学科研究机构，由依托单位提出申请报批后撤换负责人，并在一年内整改完毕。</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第十六条</w:t>
            </w:r>
            <w:r w:rsidRPr="0098380C">
              <w:rPr>
                <w:rFonts w:ascii="新宋体" w:eastAsia="新宋体" w:hAnsi="新宋体" w:cs="新宋体" w:hint="eastAsia"/>
                <w:kern w:val="0"/>
                <w:sz w:val="28"/>
                <w:szCs w:val="28"/>
              </w:rPr>
              <w:t xml:space="preserve">  有下列情形之一的，由组织人事处、科研处提出意见，组织人事处提交院党委会研究批准，可撤销该跨学科研究机构：</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（一）失去设立条件；</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（二）连续2年年度考核不合格；</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（三）工作出现重大失误，造成不良影响。</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kern w:val="0"/>
                <w:sz w:val="28"/>
                <w:szCs w:val="28"/>
              </w:rPr>
              <w:t xml:space="preserve">     被撤销的机构，2年内不得申请重新设立。被撤销的跨学科研究机构，由学院收回公章，停止以该机构名义开展活动，所余经费由学院收回统一调配。</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kern w:val="0"/>
                <w:sz w:val="28"/>
                <w:szCs w:val="28"/>
              </w:rPr>
              <w:lastRenderedPageBreak/>
              <w:t xml:space="preserve">    第十七条 </w:t>
            </w:r>
            <w:r w:rsidRPr="0098380C">
              <w:rPr>
                <w:rFonts w:ascii="新宋体" w:eastAsia="新宋体" w:hAnsi="新宋体" w:cs="新宋体" w:hint="eastAsia"/>
                <w:kern w:val="0"/>
                <w:sz w:val="28"/>
                <w:szCs w:val="28"/>
              </w:rPr>
              <w:t>有下列情形之一的，由组织人事处、科研处提出意见，组织人事处提交院党委会研究批准，可撤换该跨学科研究机构负责人：</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宋体" w:hint="eastAsia"/>
                <w:kern w:val="0"/>
                <w:sz w:val="28"/>
                <w:szCs w:val="28"/>
              </w:rPr>
              <w:t xml:space="preserve">    （一）连续两年没有发表过1篇核心或公安权威期刊论文；或者没有立项1项厅级以上项目或获得过1项厅级以上成果奖；或者没有获得过1项专利成果；或者没有1篇研究（调研）报告被厅级以上机关采纳的；或者没有（作为主讲人）举行过1次学术专题讲座或组织过一次大中型学术研讨会的；</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宋体" w:hint="eastAsia"/>
                <w:kern w:val="0"/>
                <w:sz w:val="28"/>
                <w:szCs w:val="28"/>
              </w:rPr>
              <w:t xml:space="preserve">    （二）机构年度考核不合格或连续两年不能按时完成年度工作计划任务的；</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宋体" w:hint="eastAsia"/>
                <w:kern w:val="0"/>
                <w:sz w:val="28"/>
                <w:szCs w:val="28"/>
              </w:rPr>
              <w:t xml:space="preserve">    （三）机构管理混乱，内部没有规章制度、职责分工不明确的；</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宋体" w:hint="eastAsia"/>
                <w:kern w:val="0"/>
                <w:sz w:val="28"/>
                <w:szCs w:val="28"/>
              </w:rPr>
              <w:t xml:space="preserve">    （四）违规套取或严重不合理使用资助经费的；</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宋体" w:hint="eastAsia"/>
                <w:kern w:val="0"/>
                <w:sz w:val="28"/>
                <w:szCs w:val="28"/>
              </w:rPr>
              <w:t xml:space="preserve">    （五）因退休、身体健康或工作调整不能继续正常开展工作的。</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宋体" w:hint="eastAsia"/>
                <w:kern w:val="0"/>
                <w:sz w:val="28"/>
                <w:szCs w:val="28"/>
              </w:rPr>
              <w:t xml:space="preserve">    （六）因其他情形不能正常履职或造成严重不良影响的。</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第十八条</w:t>
            </w:r>
            <w:r w:rsidRPr="0098380C">
              <w:rPr>
                <w:rFonts w:ascii="新宋体" w:eastAsia="新宋体" w:hAnsi="新宋体" w:cs="新宋体" w:hint="eastAsia"/>
                <w:kern w:val="0"/>
                <w:sz w:val="28"/>
                <w:szCs w:val="28"/>
              </w:rPr>
              <w:t xml:space="preserve">  跨学科研究机构经费由计财处统一拨付，机构应严格按年度预算执行，经费</w:t>
            </w:r>
            <w:proofErr w:type="gramStart"/>
            <w:r w:rsidRPr="0098380C">
              <w:rPr>
                <w:rFonts w:ascii="新宋体" w:eastAsia="新宋体" w:hAnsi="新宋体" w:cs="新宋体" w:hint="eastAsia"/>
                <w:kern w:val="0"/>
                <w:sz w:val="28"/>
                <w:szCs w:val="28"/>
              </w:rPr>
              <w:t>列支须</w:t>
            </w:r>
            <w:proofErr w:type="gramEnd"/>
            <w:r w:rsidRPr="0098380C">
              <w:rPr>
                <w:rFonts w:ascii="新宋体" w:eastAsia="新宋体" w:hAnsi="新宋体" w:cs="新宋体" w:hint="eastAsia"/>
                <w:kern w:val="0"/>
                <w:sz w:val="28"/>
                <w:szCs w:val="28"/>
              </w:rPr>
              <w:t>符合学院科研经费使用管理办法及相关规定。</w:t>
            </w:r>
          </w:p>
          <w:p w:rsidR="00C629B5" w:rsidRPr="0098380C" w:rsidRDefault="00C629B5" w:rsidP="00C629B5">
            <w:pPr>
              <w:widowControl/>
              <w:snapToGrid w:val="0"/>
              <w:jc w:val="center"/>
              <w:rPr>
                <w:rFonts w:ascii="Verdana" w:eastAsia="宋体" w:hAnsi="Verdana" w:cs="宋体"/>
                <w:kern w:val="0"/>
                <w:sz w:val="18"/>
                <w:szCs w:val="18"/>
              </w:rPr>
            </w:pPr>
            <w:r w:rsidRPr="0098380C">
              <w:rPr>
                <w:rFonts w:ascii="新宋体" w:eastAsia="新宋体" w:hAnsi="新宋体" w:cs="新宋体" w:hint="eastAsia"/>
                <w:b/>
                <w:bCs/>
                <w:kern w:val="0"/>
                <w:sz w:val="28"/>
                <w:szCs w:val="28"/>
              </w:rPr>
              <w:t>第六章  附 则</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第十九条  </w:t>
            </w:r>
            <w:r w:rsidRPr="0098380C">
              <w:rPr>
                <w:rFonts w:ascii="新宋体" w:eastAsia="新宋体" w:hAnsi="新宋体" w:cs="新宋体" w:hint="eastAsia"/>
                <w:kern w:val="0"/>
                <w:sz w:val="28"/>
                <w:szCs w:val="28"/>
              </w:rPr>
              <w:t>本办法由组织人事处负责解释。</w:t>
            </w:r>
          </w:p>
          <w:p w:rsidR="00C629B5" w:rsidRPr="0098380C" w:rsidRDefault="00C629B5" w:rsidP="00C629B5">
            <w:pPr>
              <w:widowControl/>
              <w:snapToGrid w:val="0"/>
              <w:jc w:val="left"/>
              <w:rPr>
                <w:rFonts w:ascii="Verdana" w:eastAsia="宋体" w:hAnsi="Verdana" w:cs="宋体"/>
                <w:kern w:val="0"/>
                <w:sz w:val="18"/>
                <w:szCs w:val="18"/>
              </w:rPr>
            </w:pPr>
            <w:r w:rsidRPr="0098380C">
              <w:rPr>
                <w:rFonts w:ascii="新宋体" w:eastAsia="新宋体" w:hAnsi="新宋体" w:cs="新宋体" w:hint="eastAsia"/>
                <w:b/>
                <w:bCs/>
                <w:kern w:val="0"/>
                <w:sz w:val="28"/>
                <w:szCs w:val="28"/>
              </w:rPr>
              <w:t xml:space="preserve">    第二十条 </w:t>
            </w:r>
            <w:r w:rsidRPr="0098380C">
              <w:rPr>
                <w:rFonts w:ascii="新宋体" w:eastAsia="新宋体" w:hAnsi="新宋体" w:cs="新宋体" w:hint="eastAsia"/>
                <w:kern w:val="0"/>
                <w:sz w:val="28"/>
                <w:szCs w:val="28"/>
              </w:rPr>
              <w:t xml:space="preserve"> 本办法自发布之日起施行。2014年6月发布的《铁道警察学院非在编科研管理机构建立管理办法》同时作废。</w:t>
            </w:r>
          </w:p>
          <w:p w:rsidR="00C629B5" w:rsidRPr="0098380C" w:rsidRDefault="00C629B5" w:rsidP="00C629B5">
            <w:pPr>
              <w:widowControl/>
              <w:snapToGrid w:val="0"/>
              <w:jc w:val="right"/>
              <w:rPr>
                <w:rFonts w:ascii="Verdana" w:eastAsia="宋体" w:hAnsi="Verdana" w:cs="宋体"/>
                <w:kern w:val="0"/>
                <w:sz w:val="18"/>
                <w:szCs w:val="18"/>
              </w:rPr>
            </w:pPr>
            <w:r w:rsidRPr="0098380C">
              <w:rPr>
                <w:rFonts w:ascii="新宋体" w:eastAsia="新宋体" w:hAnsi="新宋体" w:cs="宋体" w:hint="eastAsia"/>
                <w:b/>
                <w:bCs/>
                <w:kern w:val="0"/>
                <w:sz w:val="28"/>
                <w:szCs w:val="28"/>
              </w:rPr>
              <w:t xml:space="preserve">                                                                                </w:t>
            </w:r>
            <w:r w:rsidRPr="0098380C">
              <w:rPr>
                <w:rFonts w:ascii="新宋体" w:eastAsia="新宋体" w:hAnsi="新宋体" w:cs="新宋体" w:hint="eastAsia"/>
                <w:kern w:val="0"/>
                <w:sz w:val="28"/>
                <w:szCs w:val="28"/>
              </w:rPr>
              <w:t>2018年6月25日</w:t>
            </w:r>
          </w:p>
        </w:tc>
      </w:tr>
    </w:tbl>
    <w:p w:rsidR="007109D8" w:rsidRPr="0098380C" w:rsidRDefault="007109D8" w:rsidP="00C629B5">
      <w:pPr>
        <w:snapToGrid w:val="0"/>
      </w:pPr>
    </w:p>
    <w:sectPr w:rsidR="007109D8" w:rsidRPr="0098380C">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41"/>
    <w:rsid w:val="00112741"/>
    <w:rsid w:val="00385FA2"/>
    <w:rsid w:val="007109D8"/>
    <w:rsid w:val="0098380C"/>
    <w:rsid w:val="00C6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52577">
      <w:bodyDiv w:val="1"/>
      <w:marLeft w:val="0"/>
      <w:marRight w:val="0"/>
      <w:marTop w:val="0"/>
      <w:marBottom w:val="0"/>
      <w:divBdr>
        <w:top w:val="none" w:sz="0" w:space="0" w:color="auto"/>
        <w:left w:val="none" w:sz="0" w:space="0" w:color="auto"/>
        <w:bottom w:val="none" w:sz="0" w:space="0" w:color="auto"/>
        <w:right w:val="none" w:sz="0" w:space="0" w:color="auto"/>
      </w:divBdr>
      <w:divsChild>
        <w:div w:id="1724215390">
          <w:marLeft w:val="0"/>
          <w:marRight w:val="0"/>
          <w:marTop w:val="0"/>
          <w:marBottom w:val="0"/>
          <w:divBdr>
            <w:top w:val="none" w:sz="0" w:space="0" w:color="auto"/>
            <w:left w:val="none" w:sz="0" w:space="0" w:color="auto"/>
            <w:bottom w:val="none" w:sz="0" w:space="0" w:color="auto"/>
            <w:right w:val="none" w:sz="0" w:space="0" w:color="auto"/>
          </w:divBdr>
        </w:div>
      </w:divsChild>
    </w:div>
    <w:div w:id="2143111734">
      <w:bodyDiv w:val="1"/>
      <w:marLeft w:val="0"/>
      <w:marRight w:val="0"/>
      <w:marTop w:val="0"/>
      <w:marBottom w:val="0"/>
      <w:divBdr>
        <w:top w:val="none" w:sz="0" w:space="0" w:color="auto"/>
        <w:left w:val="none" w:sz="0" w:space="0" w:color="auto"/>
        <w:bottom w:val="none" w:sz="0" w:space="0" w:color="auto"/>
        <w:right w:val="none" w:sz="0" w:space="0" w:color="auto"/>
      </w:divBdr>
      <w:divsChild>
        <w:div w:id="118536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495</Words>
  <Characters>2825</Characters>
  <Application>Microsoft Office Word</Application>
  <DocSecurity>0</DocSecurity>
  <Lines>23</Lines>
  <Paragraphs>6</Paragraphs>
  <ScaleCrop>false</ScaleCrop>
  <Company>微软中国</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2018-11-19T03:14:00Z</dcterms:created>
  <dcterms:modified xsi:type="dcterms:W3CDTF">2019-06-19T07:41:00Z</dcterms:modified>
</cp:coreProperties>
</file>